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2162"/>
        <w:gridCol w:w="3240"/>
        <w:tblGridChange w:id="0">
          <w:tblGrid>
            <w:gridCol w:w="4606"/>
            <w:gridCol w:w="2162"/>
            <w:gridCol w:w="3240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</w:rPr>
              <w:drawing>
                <wp:inline distB="0" distT="0" distL="114300" distR="114300">
                  <wp:extent cx="2277110" cy="70294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702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LOKALNA TURISTIČKA ORGANIZACIJA (LTO)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Kategorija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A-LTO 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izdavanja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Br. dokumenta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Verzija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640"/>
              </w:tabs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potvrde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8"/>
        <w:gridCol w:w="2883"/>
        <w:gridCol w:w="3237"/>
        <w:tblGridChange w:id="0">
          <w:tblGrid>
            <w:gridCol w:w="3888"/>
            <w:gridCol w:w="2883"/>
            <w:gridCol w:w="3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UNUTRAŠNJA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Naziv organizacije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Osnivač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Članstvo u međunarodnim organizacijama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ICCA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MPI   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drugo (upiši):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Obrazac ispunio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Kontakt osoba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Kontakt podaci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Datum ispunjavanja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1. OPŠTI USLOVI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</w:rPr>
        <w:drawing>
          <wp:inline distB="0" distT="0" distL="114300" distR="114300">
            <wp:extent cx="6403340" cy="203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USLOVI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SAMOPROCJENA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SPOLJNA PROCJENA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1   2   3   4   5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KOMENTAR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OBAVEZNI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promoviše kongresnu ponudu destinacije (grada)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krovna organizacija u pojedinoj destinaciji koja predstavlja interese kongresne industrije cijelog grada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 LTO-u je barem jedan zaposleni direktno usmjeren na obavljanje poslova kongresnog turizma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usklađenu strategiju razvoja sa Strategijom razvoja turizma –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u kojoj je MICE turistički proizvod prepoznat kao važan dio razvoja destinacije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usklađenu politiku za pravedno posredovanje konkretnih upita (RFP), sa politikom CKB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raspolaže sopstvenim godišnjim budžetom za promociju na domaćem i međunarodnom tržištu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promoviše kongresnu ponudu u skladu sa brendom destinacije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poseban dio na postojećoj veb-stranici sa sveobuhvatnom prezentacijom kongresne ponude destinacije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izradio digitalni ili štampani katalog sa prezentacijom MICE ponude na najmanje jednom stranom jeziku (engleski)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nudi potencijalnim organizatorima pravedno posredovanje informacija tokom studijskih posjeta (politika »fam tripova«)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podršku crnogorskim organizatorima kongresa u osvajanju međunarodnih kongresa (pismo podrške, materijal, itd.)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pripremio medijsko gradivo o ponudi barem na jednom stranom jeziku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pripremio fototeku sa pregledom cjelokupne kongresne ponude destinacije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kreira i učestvuje u PR prilozima o destinacijama u specijalizovanim kongresnim časopisima (»destination reports«)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obavlja funkciju lobiranja za kongresnu industriju destinacije među ključnim akterima u javnom i privatnom sektoru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izrađenu bazu svih privrednika u svojoj opštini koji imaju kapacitete za kongresni turizam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pripremio seriju reklamnih poruka za marketing kongresne destinacije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plan nastupa na međunarodnim kongresnim berzama i događajima, koji je usklađen sa planom nastupa CKB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će uskladiti PR strategiju i strategiju sadržajnog marketinga sa strategijom CKB-a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C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učestvuje na međunarodnim berzama i može samostalno da nastupa na događajima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uređuje i objavljuje kalendar kongresnih događaja u pojedinoj destinaciji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organizuje studijske posjete domaćih i inostranih potencijalnih kupaca destinacije (»fam trip«)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organizuje konkretne prodajne posjete kupaca (»inspection trip«)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pripremio i redovno priprema razna saopštenja za medije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organizuje razne promotivne aktivnosti na ciljnim destinacijama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9">
            <w:pPr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nudi info punkt o velikim događajima sa preko 500 učesnika (promotivni materijal i osoblje)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marketinšku podršku kako bi se osigurao dovoljan broj učesnika u fazi pripreme događaja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učesnicima promotivne i informativne materijale destinacije na licu mjesta (na kongresima i drugim događajima) 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0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PREPORUČENI USLOVI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UOPŠTENO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u svojoj oblasti (gradu) organizovao ambasadorski program 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je pripremio »BID MANUAL« na barem jednom stranom jeziku (engleski)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razvijen sistem partnerstva i uključivanja partnera u marketinške aktivnosti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organizatorima događaja finansijsku podršku u dobijanju projekata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besplatne usluge za organizatore događaja i posrednike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u planu sprovođenje obuka ponuđača kongresnih usluga na destinaciji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pruža pomoć u dobijanju podrške (pisma podrške, prijemi) za kongrese od strane lokalne zajednice (gradonačelnik, javne institucije)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potencijalnim organizatorima kongresa pruža informacije o mogućnostima izvođenja društvenih događaja (lokacije, izvođači)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raspolaže mrežom redovnih ili honorarnih saradnika sa znanjem destinacijskog marketinga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Redovni ili honorarni saradnici obučeni su za komunikaciju na najmanje jednom svjetskom jeziku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vodi računa o kontinuiranom usavršavanju stalnih i honorarnih saradnika (škola EFCT, IAPCO, SITE, MPI, ...)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Osoblje lokalnog kongresnog biroa ima detaljno znanje i poznavanje usluga lokalnih ponuđača kongresa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sprovodi za destinaciju istraživanja domaćeg kongresnog tržišta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KONGRESNA STATISTIKA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sprovodi i reguliše pregled kongresne djelatnosti na destinaciji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statistički prati sve upite koje obrađuje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sprovodi i reguliše povremena istraživanja tržišta između svojih partnera i kupaca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POSREDOVANJE UPITA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ima veb-obrazac za primanje upita (RFP)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odgovara na sve upite u roku od 24 sata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3960"/>
        <w:gridCol w:w="720"/>
        <w:gridCol w:w="720"/>
        <w:gridCol w:w="820"/>
        <w:gridCol w:w="2004"/>
        <w:gridCol w:w="1316"/>
        <w:tblGridChange w:id="0">
          <w:tblGrid>
            <w:gridCol w:w="468"/>
            <w:gridCol w:w="3960"/>
            <w:gridCol w:w="720"/>
            <w:gridCol w:w="720"/>
            <w:gridCol w:w="820"/>
            <w:gridCol w:w="2004"/>
            <w:gridCol w:w="13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PARTNERSTVO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izdaje štampanu ili internet brošuru sa prezentacijom partnera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vodi i uređuje štampani ili internet kalendar događaja partnera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LTO se redovno susreće sa predstavnicima partnera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 NP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ahoma" w:cs="Tahoma" w:eastAsia="Tahoma" w:hAnsi="Tahom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1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808080"/>
                <w:sz w:val="18"/>
                <w:szCs w:val="18"/>
                <w:rtl w:val="0"/>
              </w:rPr>
              <w:t xml:space="preserve">◻</w:t>
            </w:r>
            <w:r w:rsidDel="00000000" w:rsidR="00000000" w:rsidRPr="00000000">
              <w:rPr>
                <w:rFonts w:ascii="Tahoma" w:cs="Tahoma" w:eastAsia="Tahoma" w:hAnsi="Tahoma"/>
                <w:color w:val="80808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jc w:val="both"/>
        <w:rPr>
          <w:rFonts w:ascii="Tahoma" w:cs="Tahoma" w:eastAsia="Tahoma" w:hAnsi="Tahoma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sz w:val="36"/>
          <w:szCs w:val="36"/>
          <w:rtl w:val="0"/>
        </w:rPr>
        <w:t xml:space="preserve">🙪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SPOLJNA PROCJENA (ispunjavaju članovi ocjenjivačke komisije)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</w:rPr>
        <w:drawing>
          <wp:inline distB="0" distT="0" distL="114300" distR="114300">
            <wp:extent cx="6403340" cy="203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5940"/>
        <w:tblGridChange w:id="0">
          <w:tblGrid>
            <w:gridCol w:w="4068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C9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SPOLJNA PROCJENA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1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Ocjenjivač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Datum ispunjavanja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2"/>
        <w:gridCol w:w="1563"/>
        <w:gridCol w:w="2283"/>
        <w:tblGridChange w:id="0">
          <w:tblGrid>
            <w:gridCol w:w="6162"/>
            <w:gridCol w:w="1563"/>
            <w:gridCol w:w="2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D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REZULTATI OCJENE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PITANJA (obavezni uslovi)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POZITIVNIH ODGOVORA (obavezni uslovi)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NEGATIVNIH ODGOVORA (obavezni uslovi)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UDIO NEODGOVORENIH PITANJA (obavezni uslovi)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UKUPAN BROJ POENA (preporučeni uslovi)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E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F1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F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KOMENTAR SPOLJNOG OCJENJIVAČA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Podgorica,  ____________________</w:t>
        <w:tab/>
        <w:tab/>
        <w:tab/>
        <w:tab/>
        <w:t xml:space="preserve">Podgorica, ____________________</w:t>
      </w:r>
    </w:p>
    <w:p w:rsidR="00000000" w:rsidDel="00000000" w:rsidP="00000000" w:rsidRDefault="00000000" w:rsidRPr="00000000" w14:paraId="0000020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Ime i prezime ocjenjivača: </w:t>
        <w:tab/>
        <w:tab/>
        <w:tab/>
        <w:tab/>
        <w:tab/>
      </w:r>
    </w:p>
    <w:p w:rsidR="00000000" w:rsidDel="00000000" w:rsidP="00000000" w:rsidRDefault="00000000" w:rsidRPr="00000000" w14:paraId="0000020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20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  <w:t xml:space="preserve">Potpis:</w:t>
      </w:r>
    </w:p>
    <w:p w:rsidR="00000000" w:rsidDel="00000000" w:rsidP="00000000" w:rsidRDefault="00000000" w:rsidRPr="00000000" w14:paraId="0000020C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  <w:t xml:space="preserve">_____________________________</w:t>
      </w:r>
    </w:p>
    <w:p w:rsidR="00000000" w:rsidDel="00000000" w:rsidP="00000000" w:rsidRDefault="00000000" w:rsidRPr="00000000" w14:paraId="0000020D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Ime i prezime ocjenjivača: </w:t>
        <w:tab/>
        <w:tab/>
        <w:tab/>
        <w:tab/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21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p w:rsidR="00000000" w:rsidDel="00000000" w:rsidP="00000000" w:rsidRDefault="00000000" w:rsidRPr="00000000" w14:paraId="0000021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Potpis: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1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</w:t>
        <w:tab/>
        <w:tab/>
        <w:tab/>
        <w:tab/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ahoma" w:cs="Tahoma" w:eastAsia="Tahoma" w:hAnsi="Tahoma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Tahoma" w:cs="Tahoma" w:eastAsia="Tahoma" w:hAnsi="Tahoma"/>
        <w:color w:val="000000"/>
        <w:sz w:val="22"/>
        <w:szCs w:val="22"/>
      </w:rPr>
    </w:pPr>
    <w:r w:rsidDel="00000000" w:rsidR="00000000" w:rsidRPr="00000000">
      <w:rPr>
        <w:rFonts w:ascii="Tahoma" w:cs="Tahoma" w:eastAsia="Tahoma" w:hAnsi="Tahoma"/>
        <w:color w:val="000000"/>
        <w:sz w:val="22"/>
        <w:szCs w:val="22"/>
      </w:rPr>
      <w:drawing>
        <wp:inline distB="0" distT="0" distL="114300" distR="114300">
          <wp:extent cx="5366385" cy="27114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6385" cy="271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ahoma" w:cs="Tahoma" w:eastAsia="Tahoma" w:hAnsi="Tahoma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Nacionalna turistička organizacija Crne Gore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ab/>
      <w:tab/>
    </w:r>
  </w:p>
  <w:p w:rsidR="00000000" w:rsidDel="00000000" w:rsidP="00000000" w:rsidRDefault="00000000" w:rsidRPr="00000000" w14:paraId="000002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42" w:hanging="142"/>
    </w:pPr>
    <w:rPr>
      <w:rFonts w:ascii="Bookman Old Style" w:cs="Bookman Old Style" w:eastAsia="Bookman Old Style" w:hAnsi="Bookman Old Styl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cysCm3SpvunEHut7FKAle5lIhA==">CgMxLjAyCGguZ2pkZ3hzOAByITFRU1RDZDY0VGFid2UyWXhRUWN3OUNlSW1ES0NUZ1J1cQ==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